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4D2" w:rsidRDefault="00856B88">
      <w:r>
        <w:t>Lesson 6</w:t>
      </w:r>
    </w:p>
    <w:p w:rsidR="00856B88" w:rsidRDefault="00856B88">
      <w:r>
        <w:t>The goal of this lesson is to demonstrate how to run a One-Way ANOVA in SPSS</w:t>
      </w:r>
    </w:p>
    <w:p w:rsidR="00856B88" w:rsidRPr="00856B88" w:rsidRDefault="00856B88">
      <w:r>
        <w:t xml:space="preserve">To begin, import the dataset from lesson 1.  Next, point to </w:t>
      </w:r>
      <w:r>
        <w:rPr>
          <w:i/>
        </w:rPr>
        <w:t>Analyze</w:t>
      </w:r>
      <w:r>
        <w:sym w:font="Wingdings" w:char="F0E0"/>
      </w:r>
      <w:r>
        <w:rPr>
          <w:i/>
        </w:rPr>
        <w:t>Compare Means</w:t>
      </w:r>
      <w:r>
        <w:t xml:space="preserve"> and then click on </w:t>
      </w:r>
      <w:r>
        <w:rPr>
          <w:i/>
        </w:rPr>
        <w:t>One-Way ANOVA</w:t>
      </w:r>
      <w:r>
        <w:t>, as shown below:</w:t>
      </w:r>
    </w:p>
    <w:p w:rsidR="00856B88" w:rsidRDefault="00856B88" w:rsidP="00856B88">
      <w:pPr>
        <w:jc w:val="center"/>
      </w:pPr>
      <w:r>
        <w:rPr>
          <w:noProof/>
        </w:rPr>
        <w:drawing>
          <wp:inline distT="0" distB="0" distL="0" distR="0">
            <wp:extent cx="3409950" cy="1977419"/>
            <wp:effectExtent l="19050" t="0" r="0" b="0"/>
            <wp:docPr id="1" name="Picture 0" descr="1way_A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way_ANOVA.jpg"/>
                    <pic:cNvPicPr/>
                  </pic:nvPicPr>
                  <pic:blipFill>
                    <a:blip r:embed="rId4" cstate="print"/>
                    <a:stretch>
                      <a:fillRect/>
                    </a:stretch>
                  </pic:blipFill>
                  <pic:spPr>
                    <a:xfrm>
                      <a:off x="0" y="0"/>
                      <a:ext cx="3409950" cy="1977419"/>
                    </a:xfrm>
                    <a:prstGeom prst="rect">
                      <a:avLst/>
                    </a:prstGeom>
                  </pic:spPr>
                </pic:pic>
              </a:graphicData>
            </a:graphic>
          </wp:inline>
        </w:drawing>
      </w:r>
    </w:p>
    <w:p w:rsidR="00856B88" w:rsidRDefault="00856B88">
      <w:r>
        <w:t>This will bring up the following window:</w:t>
      </w:r>
    </w:p>
    <w:p w:rsidR="00856B88" w:rsidRDefault="00856B88" w:rsidP="00856B88">
      <w:pPr>
        <w:jc w:val="center"/>
      </w:pPr>
      <w:r>
        <w:rPr>
          <w:noProof/>
        </w:rPr>
        <w:drawing>
          <wp:inline distT="0" distB="0" distL="0" distR="0">
            <wp:extent cx="3933825" cy="2260224"/>
            <wp:effectExtent l="19050" t="0" r="0" b="0"/>
            <wp:docPr id="2" name="Picture 1" descr="ANOV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OVA1.jpg"/>
                    <pic:cNvPicPr/>
                  </pic:nvPicPr>
                  <pic:blipFill>
                    <a:blip r:embed="rId5" cstate="print"/>
                    <a:stretch>
                      <a:fillRect/>
                    </a:stretch>
                  </pic:blipFill>
                  <pic:spPr>
                    <a:xfrm>
                      <a:off x="0" y="0"/>
                      <a:ext cx="3937582" cy="2262383"/>
                    </a:xfrm>
                    <a:prstGeom prst="rect">
                      <a:avLst/>
                    </a:prstGeom>
                  </pic:spPr>
                </pic:pic>
              </a:graphicData>
            </a:graphic>
          </wp:inline>
        </w:drawing>
      </w:r>
    </w:p>
    <w:p w:rsidR="00856B88" w:rsidRDefault="00856B88" w:rsidP="00856B88">
      <w:r>
        <w:t>Let’s say we’re interested in knowing whether there is any difference in the weight variable across different NYHA groups.  Our null hypothesis is:</w:t>
      </w:r>
    </w:p>
    <w:p w:rsidR="00856B88" w:rsidRDefault="00856B88" w:rsidP="00856B88">
      <w:r>
        <w:t>H</w:t>
      </w:r>
      <w:r w:rsidRPr="00856B88">
        <w:rPr>
          <w:vertAlign w:val="subscript"/>
        </w:rPr>
        <w:t>0</w:t>
      </w:r>
      <w:r>
        <w:t>: There is no difference in mean weight between NYHA groups</w:t>
      </w:r>
    </w:p>
    <w:p w:rsidR="00856B88" w:rsidRDefault="00856B88" w:rsidP="00856B88">
      <w:r>
        <w:t>And our alternative hypothesis is:</w:t>
      </w:r>
    </w:p>
    <w:p w:rsidR="00856B88" w:rsidRDefault="00856B88" w:rsidP="00856B88">
      <w:r>
        <w:t>H</w:t>
      </w:r>
      <w:r w:rsidRPr="00856B88">
        <w:rPr>
          <w:vertAlign w:val="subscript"/>
        </w:rPr>
        <w:t>A</w:t>
      </w:r>
      <w:r>
        <w:t>: There is a difference in mean weight between different NYHA groups</w:t>
      </w:r>
    </w:p>
    <w:p w:rsidR="00856B88" w:rsidRPr="00856B88" w:rsidRDefault="00856B88" w:rsidP="00856B88">
      <w:r>
        <w:t xml:space="preserve">In order to perform this test, move the weight variable over to the </w:t>
      </w:r>
      <w:r>
        <w:rPr>
          <w:i/>
        </w:rPr>
        <w:t>Dependent List</w:t>
      </w:r>
      <w:r>
        <w:t xml:space="preserve"> box and move the </w:t>
      </w:r>
      <w:r>
        <w:rPr>
          <w:i/>
        </w:rPr>
        <w:t>NYHA</w:t>
      </w:r>
      <w:r>
        <w:t xml:space="preserve"> variable over to the </w:t>
      </w:r>
      <w:r>
        <w:rPr>
          <w:i/>
        </w:rPr>
        <w:t>Factor</w:t>
      </w:r>
      <w:r>
        <w:t xml:space="preserve"> box, as shown in the above figure.  Then hit the </w:t>
      </w:r>
      <w:r>
        <w:rPr>
          <w:i/>
        </w:rPr>
        <w:t>Ok</w:t>
      </w:r>
      <w:r>
        <w:t xml:space="preserve"> button.  This will bring up the following table:</w:t>
      </w:r>
    </w:p>
    <w:p w:rsidR="00856B88" w:rsidRPr="00856B88" w:rsidRDefault="00856B88" w:rsidP="00856B88">
      <w:pPr>
        <w:autoSpaceDE w:val="0"/>
        <w:autoSpaceDN w:val="0"/>
        <w:adjustRightInd w:val="0"/>
        <w:spacing w:after="0" w:line="240" w:lineRule="auto"/>
        <w:rPr>
          <w:rFonts w:ascii="Times New Roman" w:hAnsi="Times New Roman" w:cs="Times New Roman"/>
          <w:sz w:val="24"/>
          <w:szCs w:val="24"/>
        </w:rPr>
      </w:pPr>
    </w:p>
    <w:tbl>
      <w:tblPr>
        <w:tblW w:w="7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696"/>
        <w:gridCol w:w="1468"/>
        <w:gridCol w:w="1019"/>
        <w:gridCol w:w="1410"/>
        <w:gridCol w:w="1020"/>
        <w:gridCol w:w="1020"/>
      </w:tblGrid>
      <w:tr w:rsidR="00856B88" w:rsidRPr="00856B88" w:rsidTr="00856B88">
        <w:trPr>
          <w:cantSplit/>
          <w:tblHeader/>
          <w:jc w:val="center"/>
        </w:trPr>
        <w:tc>
          <w:tcPr>
            <w:tcW w:w="7629" w:type="dxa"/>
            <w:gridSpan w:val="6"/>
            <w:tcBorders>
              <w:top w:val="nil"/>
              <w:left w:val="nil"/>
              <w:bottom w:val="nil"/>
              <w:right w:val="nil"/>
            </w:tcBorders>
            <w:shd w:val="clear" w:color="auto" w:fill="FFFFFF"/>
            <w:vAlign w:val="center"/>
          </w:tcPr>
          <w:p w:rsidR="00856B88" w:rsidRPr="00856B88" w:rsidRDefault="00856B88" w:rsidP="00856B88">
            <w:pPr>
              <w:autoSpaceDE w:val="0"/>
              <w:autoSpaceDN w:val="0"/>
              <w:adjustRightInd w:val="0"/>
              <w:spacing w:after="0" w:line="320" w:lineRule="atLeast"/>
              <w:ind w:left="60" w:right="60"/>
              <w:jc w:val="center"/>
              <w:rPr>
                <w:rFonts w:ascii="Arial" w:hAnsi="Arial" w:cs="Arial"/>
                <w:color w:val="000000"/>
                <w:sz w:val="18"/>
                <w:szCs w:val="18"/>
              </w:rPr>
            </w:pPr>
            <w:r w:rsidRPr="00856B88">
              <w:rPr>
                <w:rFonts w:ascii="Arial" w:hAnsi="Arial" w:cs="Arial"/>
                <w:b/>
                <w:bCs/>
                <w:color w:val="000000"/>
                <w:sz w:val="18"/>
                <w:szCs w:val="18"/>
              </w:rPr>
              <w:t>ANOVA</w:t>
            </w:r>
          </w:p>
        </w:tc>
      </w:tr>
      <w:tr w:rsidR="00856B88" w:rsidRPr="00856B88" w:rsidTr="00856B88">
        <w:trPr>
          <w:cantSplit/>
          <w:tblHeader/>
          <w:jc w:val="center"/>
        </w:trPr>
        <w:tc>
          <w:tcPr>
            <w:tcW w:w="7629" w:type="dxa"/>
            <w:gridSpan w:val="6"/>
            <w:tcBorders>
              <w:top w:val="nil"/>
              <w:left w:val="nil"/>
              <w:bottom w:val="nil"/>
              <w:right w:val="nil"/>
            </w:tcBorders>
            <w:shd w:val="clear" w:color="auto" w:fill="FFFFFF"/>
            <w:vAlign w:val="bottom"/>
          </w:tcPr>
          <w:p w:rsidR="00856B88" w:rsidRPr="00856B88" w:rsidRDefault="00856B88" w:rsidP="00856B88">
            <w:pPr>
              <w:autoSpaceDE w:val="0"/>
              <w:autoSpaceDN w:val="0"/>
              <w:adjustRightInd w:val="0"/>
              <w:spacing w:after="0" w:line="320" w:lineRule="atLeast"/>
              <w:ind w:left="60" w:right="60"/>
              <w:rPr>
                <w:rFonts w:ascii="Arial" w:hAnsi="Arial" w:cs="Arial"/>
                <w:color w:val="000000"/>
                <w:sz w:val="18"/>
                <w:szCs w:val="18"/>
              </w:rPr>
            </w:pPr>
            <w:r w:rsidRPr="00856B88">
              <w:rPr>
                <w:rFonts w:ascii="Arial" w:hAnsi="Arial" w:cs="Arial"/>
                <w:color w:val="000000"/>
                <w:sz w:val="18"/>
                <w:szCs w:val="18"/>
              </w:rPr>
              <w:t>Wt</w:t>
            </w:r>
          </w:p>
        </w:tc>
      </w:tr>
      <w:tr w:rsidR="00856B88" w:rsidRPr="00856B88" w:rsidTr="00856B88">
        <w:trPr>
          <w:cantSplit/>
          <w:tblHeader/>
          <w:jc w:val="center"/>
        </w:trPr>
        <w:tc>
          <w:tcPr>
            <w:tcW w:w="169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56B88" w:rsidRPr="00856B88" w:rsidRDefault="00856B88" w:rsidP="00856B88">
            <w:pPr>
              <w:autoSpaceDE w:val="0"/>
              <w:autoSpaceDN w:val="0"/>
              <w:adjustRightInd w:val="0"/>
              <w:spacing w:after="0" w:line="240" w:lineRule="auto"/>
              <w:jc w:val="center"/>
              <w:rPr>
                <w:rFonts w:ascii="Times New Roman" w:hAnsi="Times New Roman" w:cs="Times New Roman"/>
                <w:sz w:val="24"/>
                <w:szCs w:val="24"/>
              </w:rPr>
            </w:pPr>
          </w:p>
        </w:tc>
        <w:tc>
          <w:tcPr>
            <w:tcW w:w="1468" w:type="dxa"/>
            <w:tcBorders>
              <w:top w:val="single" w:sz="16" w:space="0" w:color="000000"/>
              <w:left w:val="single" w:sz="16" w:space="0" w:color="000000"/>
              <w:bottom w:val="single" w:sz="16" w:space="0" w:color="000000"/>
            </w:tcBorders>
            <w:shd w:val="clear" w:color="auto" w:fill="FFFFFF"/>
            <w:vAlign w:val="bottom"/>
          </w:tcPr>
          <w:p w:rsidR="00856B88" w:rsidRPr="00856B88" w:rsidRDefault="00856B88" w:rsidP="00856B88">
            <w:pPr>
              <w:autoSpaceDE w:val="0"/>
              <w:autoSpaceDN w:val="0"/>
              <w:adjustRightInd w:val="0"/>
              <w:spacing w:after="0" w:line="320" w:lineRule="atLeast"/>
              <w:ind w:left="60" w:right="60"/>
              <w:jc w:val="center"/>
              <w:rPr>
                <w:rFonts w:ascii="Arial" w:hAnsi="Arial" w:cs="Arial"/>
                <w:color w:val="000000"/>
                <w:sz w:val="18"/>
                <w:szCs w:val="18"/>
              </w:rPr>
            </w:pPr>
            <w:r w:rsidRPr="00856B88">
              <w:rPr>
                <w:rFonts w:ascii="Arial" w:hAnsi="Arial" w:cs="Arial"/>
                <w:color w:val="000000"/>
                <w:sz w:val="18"/>
                <w:szCs w:val="18"/>
              </w:rPr>
              <w:t>Sum of Squares</w:t>
            </w:r>
          </w:p>
        </w:tc>
        <w:tc>
          <w:tcPr>
            <w:tcW w:w="1018" w:type="dxa"/>
            <w:tcBorders>
              <w:top w:val="single" w:sz="16" w:space="0" w:color="000000"/>
              <w:bottom w:val="single" w:sz="16" w:space="0" w:color="000000"/>
            </w:tcBorders>
            <w:shd w:val="clear" w:color="auto" w:fill="FFFFFF"/>
            <w:vAlign w:val="bottom"/>
          </w:tcPr>
          <w:p w:rsidR="00856B88" w:rsidRPr="00856B88" w:rsidRDefault="00856B88" w:rsidP="00856B88">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856B88">
              <w:rPr>
                <w:rFonts w:ascii="Arial" w:hAnsi="Arial" w:cs="Arial"/>
                <w:color w:val="000000"/>
                <w:sz w:val="18"/>
                <w:szCs w:val="18"/>
              </w:rPr>
              <w:t>df</w:t>
            </w:r>
            <w:proofErr w:type="spellEnd"/>
          </w:p>
        </w:tc>
        <w:tc>
          <w:tcPr>
            <w:tcW w:w="1409" w:type="dxa"/>
            <w:tcBorders>
              <w:top w:val="single" w:sz="16" w:space="0" w:color="000000"/>
              <w:bottom w:val="single" w:sz="16" w:space="0" w:color="000000"/>
            </w:tcBorders>
            <w:shd w:val="clear" w:color="auto" w:fill="FFFFFF"/>
            <w:vAlign w:val="bottom"/>
          </w:tcPr>
          <w:p w:rsidR="00856B88" w:rsidRPr="00856B88" w:rsidRDefault="00856B88" w:rsidP="00856B88">
            <w:pPr>
              <w:autoSpaceDE w:val="0"/>
              <w:autoSpaceDN w:val="0"/>
              <w:adjustRightInd w:val="0"/>
              <w:spacing w:after="0" w:line="320" w:lineRule="atLeast"/>
              <w:ind w:left="60" w:right="60"/>
              <w:jc w:val="center"/>
              <w:rPr>
                <w:rFonts w:ascii="Arial" w:hAnsi="Arial" w:cs="Arial"/>
                <w:color w:val="000000"/>
                <w:sz w:val="18"/>
                <w:szCs w:val="18"/>
              </w:rPr>
            </w:pPr>
            <w:r w:rsidRPr="00856B88">
              <w:rPr>
                <w:rFonts w:ascii="Arial" w:hAnsi="Arial" w:cs="Arial"/>
                <w:color w:val="000000"/>
                <w:sz w:val="18"/>
                <w:szCs w:val="18"/>
              </w:rPr>
              <w:t>Mean Square</w:t>
            </w:r>
          </w:p>
        </w:tc>
        <w:tc>
          <w:tcPr>
            <w:tcW w:w="1019" w:type="dxa"/>
            <w:tcBorders>
              <w:top w:val="single" w:sz="16" w:space="0" w:color="000000"/>
              <w:bottom w:val="single" w:sz="16" w:space="0" w:color="000000"/>
            </w:tcBorders>
            <w:shd w:val="clear" w:color="auto" w:fill="FFFFFF"/>
            <w:vAlign w:val="bottom"/>
          </w:tcPr>
          <w:p w:rsidR="00856B88" w:rsidRPr="00856B88" w:rsidRDefault="00856B88" w:rsidP="00856B88">
            <w:pPr>
              <w:autoSpaceDE w:val="0"/>
              <w:autoSpaceDN w:val="0"/>
              <w:adjustRightInd w:val="0"/>
              <w:spacing w:after="0" w:line="320" w:lineRule="atLeast"/>
              <w:ind w:left="60" w:right="60"/>
              <w:jc w:val="center"/>
              <w:rPr>
                <w:rFonts w:ascii="Arial" w:hAnsi="Arial" w:cs="Arial"/>
                <w:color w:val="000000"/>
                <w:sz w:val="18"/>
                <w:szCs w:val="18"/>
              </w:rPr>
            </w:pPr>
            <w:r w:rsidRPr="00856B88">
              <w:rPr>
                <w:rFonts w:ascii="Arial" w:hAnsi="Arial" w:cs="Arial"/>
                <w:color w:val="000000"/>
                <w:sz w:val="18"/>
                <w:szCs w:val="18"/>
              </w:rPr>
              <w:t>F</w:t>
            </w:r>
          </w:p>
        </w:tc>
        <w:tc>
          <w:tcPr>
            <w:tcW w:w="1019" w:type="dxa"/>
            <w:tcBorders>
              <w:top w:val="single" w:sz="16" w:space="0" w:color="000000"/>
              <w:bottom w:val="single" w:sz="16" w:space="0" w:color="000000"/>
              <w:right w:val="single" w:sz="16" w:space="0" w:color="000000"/>
            </w:tcBorders>
            <w:shd w:val="clear" w:color="auto" w:fill="FFFFFF"/>
            <w:vAlign w:val="bottom"/>
          </w:tcPr>
          <w:p w:rsidR="00856B88" w:rsidRPr="00856B88" w:rsidRDefault="00856B88" w:rsidP="00856B88">
            <w:pPr>
              <w:autoSpaceDE w:val="0"/>
              <w:autoSpaceDN w:val="0"/>
              <w:adjustRightInd w:val="0"/>
              <w:spacing w:after="0" w:line="320" w:lineRule="atLeast"/>
              <w:ind w:left="60" w:right="60"/>
              <w:jc w:val="center"/>
              <w:rPr>
                <w:rFonts w:ascii="Arial" w:hAnsi="Arial" w:cs="Arial"/>
                <w:color w:val="000000"/>
                <w:sz w:val="18"/>
                <w:szCs w:val="18"/>
              </w:rPr>
            </w:pPr>
            <w:r w:rsidRPr="00856B88">
              <w:rPr>
                <w:rFonts w:ascii="Arial" w:hAnsi="Arial" w:cs="Arial"/>
                <w:color w:val="000000"/>
                <w:sz w:val="18"/>
                <w:szCs w:val="18"/>
              </w:rPr>
              <w:t>Sig.</w:t>
            </w:r>
          </w:p>
        </w:tc>
      </w:tr>
      <w:tr w:rsidR="00856B88" w:rsidRPr="00856B88" w:rsidTr="00856B88">
        <w:trPr>
          <w:cantSplit/>
          <w:tblHeader/>
          <w:jc w:val="center"/>
        </w:trPr>
        <w:tc>
          <w:tcPr>
            <w:tcW w:w="1696" w:type="dxa"/>
            <w:tcBorders>
              <w:top w:val="single" w:sz="16" w:space="0" w:color="000000"/>
              <w:left w:val="single" w:sz="16" w:space="0" w:color="000000"/>
              <w:bottom w:val="nil"/>
              <w:right w:val="single" w:sz="16" w:space="0" w:color="000000"/>
            </w:tcBorders>
            <w:shd w:val="clear" w:color="auto" w:fill="FFFFFF"/>
          </w:tcPr>
          <w:p w:rsidR="00856B88" w:rsidRPr="00856B88" w:rsidRDefault="00856B88" w:rsidP="00856B88">
            <w:pPr>
              <w:autoSpaceDE w:val="0"/>
              <w:autoSpaceDN w:val="0"/>
              <w:adjustRightInd w:val="0"/>
              <w:spacing w:after="0" w:line="320" w:lineRule="atLeast"/>
              <w:ind w:left="60" w:right="60"/>
              <w:rPr>
                <w:rFonts w:ascii="Arial" w:hAnsi="Arial" w:cs="Arial"/>
                <w:color w:val="000000"/>
                <w:sz w:val="18"/>
                <w:szCs w:val="18"/>
              </w:rPr>
            </w:pPr>
            <w:r w:rsidRPr="00856B88">
              <w:rPr>
                <w:rFonts w:ascii="Arial" w:hAnsi="Arial" w:cs="Arial"/>
                <w:color w:val="000000"/>
                <w:sz w:val="18"/>
                <w:szCs w:val="18"/>
              </w:rPr>
              <w:t>Between Groups</w:t>
            </w:r>
          </w:p>
        </w:tc>
        <w:tc>
          <w:tcPr>
            <w:tcW w:w="1468" w:type="dxa"/>
            <w:tcBorders>
              <w:top w:val="single" w:sz="16" w:space="0" w:color="000000"/>
              <w:left w:val="single" w:sz="16" w:space="0" w:color="000000"/>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707.725</w:t>
            </w:r>
          </w:p>
        </w:tc>
        <w:tc>
          <w:tcPr>
            <w:tcW w:w="1018" w:type="dxa"/>
            <w:tcBorders>
              <w:top w:val="single" w:sz="16" w:space="0" w:color="000000"/>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3</w:t>
            </w:r>
          </w:p>
        </w:tc>
        <w:tc>
          <w:tcPr>
            <w:tcW w:w="1409" w:type="dxa"/>
            <w:tcBorders>
              <w:top w:val="single" w:sz="16" w:space="0" w:color="000000"/>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235.908</w:t>
            </w:r>
          </w:p>
        </w:tc>
        <w:tc>
          <w:tcPr>
            <w:tcW w:w="1019" w:type="dxa"/>
            <w:tcBorders>
              <w:top w:val="single" w:sz="16" w:space="0" w:color="000000"/>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2.335</w:t>
            </w:r>
          </w:p>
        </w:tc>
        <w:tc>
          <w:tcPr>
            <w:tcW w:w="1019" w:type="dxa"/>
            <w:tcBorders>
              <w:top w:val="single" w:sz="16" w:space="0" w:color="000000"/>
              <w:bottom w:val="nil"/>
              <w:right w:val="single" w:sz="16" w:space="0" w:color="000000"/>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.072</w:t>
            </w:r>
          </w:p>
        </w:tc>
      </w:tr>
      <w:tr w:rsidR="00856B88" w:rsidRPr="00856B88" w:rsidTr="00856B88">
        <w:trPr>
          <w:cantSplit/>
          <w:tblHeader/>
          <w:jc w:val="center"/>
        </w:trPr>
        <w:tc>
          <w:tcPr>
            <w:tcW w:w="1696" w:type="dxa"/>
            <w:tcBorders>
              <w:top w:val="nil"/>
              <w:left w:val="single" w:sz="16" w:space="0" w:color="000000"/>
              <w:bottom w:val="nil"/>
              <w:right w:val="single" w:sz="16" w:space="0" w:color="000000"/>
            </w:tcBorders>
            <w:shd w:val="clear" w:color="auto" w:fill="FFFFFF"/>
          </w:tcPr>
          <w:p w:rsidR="00856B88" w:rsidRPr="00856B88" w:rsidRDefault="00856B88" w:rsidP="00856B88">
            <w:pPr>
              <w:autoSpaceDE w:val="0"/>
              <w:autoSpaceDN w:val="0"/>
              <w:adjustRightInd w:val="0"/>
              <w:spacing w:after="0" w:line="320" w:lineRule="atLeast"/>
              <w:ind w:left="60" w:right="60"/>
              <w:rPr>
                <w:rFonts w:ascii="Arial" w:hAnsi="Arial" w:cs="Arial"/>
                <w:color w:val="000000"/>
                <w:sz w:val="18"/>
                <w:szCs w:val="18"/>
              </w:rPr>
            </w:pPr>
            <w:r w:rsidRPr="00856B88">
              <w:rPr>
                <w:rFonts w:ascii="Arial" w:hAnsi="Arial" w:cs="Arial"/>
                <w:color w:val="000000"/>
                <w:sz w:val="18"/>
                <w:szCs w:val="18"/>
              </w:rPr>
              <w:t>Within Groups</w:t>
            </w:r>
          </w:p>
        </w:tc>
        <w:tc>
          <w:tcPr>
            <w:tcW w:w="1468" w:type="dxa"/>
            <w:tcBorders>
              <w:top w:val="nil"/>
              <w:left w:val="single" w:sz="16" w:space="0" w:color="000000"/>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1009791.503</w:t>
            </w:r>
          </w:p>
        </w:tc>
        <w:tc>
          <w:tcPr>
            <w:tcW w:w="1018" w:type="dxa"/>
            <w:tcBorders>
              <w:top w:val="nil"/>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9996</w:t>
            </w:r>
          </w:p>
        </w:tc>
        <w:tc>
          <w:tcPr>
            <w:tcW w:w="1409" w:type="dxa"/>
            <w:tcBorders>
              <w:top w:val="nil"/>
              <w:bottom w:val="nil"/>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101.020</w:t>
            </w:r>
          </w:p>
        </w:tc>
        <w:tc>
          <w:tcPr>
            <w:tcW w:w="1019" w:type="dxa"/>
            <w:tcBorders>
              <w:top w:val="nil"/>
              <w:bottom w:val="nil"/>
            </w:tcBorders>
            <w:shd w:val="clear" w:color="auto" w:fill="FFFFFF"/>
            <w:vAlign w:val="center"/>
          </w:tcPr>
          <w:p w:rsidR="00856B88" w:rsidRPr="00856B88" w:rsidRDefault="00856B88" w:rsidP="00856B88">
            <w:pPr>
              <w:autoSpaceDE w:val="0"/>
              <w:autoSpaceDN w:val="0"/>
              <w:adjustRightInd w:val="0"/>
              <w:spacing w:after="0" w:line="240" w:lineRule="auto"/>
              <w:jc w:val="center"/>
              <w:rPr>
                <w:rFonts w:ascii="Times New Roman" w:hAnsi="Times New Roman" w:cs="Times New Roman"/>
                <w:sz w:val="24"/>
                <w:szCs w:val="24"/>
              </w:rPr>
            </w:pPr>
          </w:p>
        </w:tc>
        <w:tc>
          <w:tcPr>
            <w:tcW w:w="1019" w:type="dxa"/>
            <w:tcBorders>
              <w:top w:val="nil"/>
              <w:bottom w:val="nil"/>
              <w:right w:val="single" w:sz="16" w:space="0" w:color="000000"/>
            </w:tcBorders>
            <w:shd w:val="clear" w:color="auto" w:fill="FFFFFF"/>
            <w:vAlign w:val="center"/>
          </w:tcPr>
          <w:p w:rsidR="00856B88" w:rsidRPr="00856B88" w:rsidRDefault="00856B88" w:rsidP="00856B88">
            <w:pPr>
              <w:autoSpaceDE w:val="0"/>
              <w:autoSpaceDN w:val="0"/>
              <w:adjustRightInd w:val="0"/>
              <w:spacing w:after="0" w:line="240" w:lineRule="auto"/>
              <w:jc w:val="center"/>
              <w:rPr>
                <w:rFonts w:ascii="Times New Roman" w:hAnsi="Times New Roman" w:cs="Times New Roman"/>
                <w:sz w:val="24"/>
                <w:szCs w:val="24"/>
              </w:rPr>
            </w:pPr>
          </w:p>
        </w:tc>
      </w:tr>
      <w:tr w:rsidR="00856B88" w:rsidRPr="00856B88" w:rsidTr="00856B88">
        <w:trPr>
          <w:cantSplit/>
          <w:jc w:val="center"/>
        </w:trPr>
        <w:tc>
          <w:tcPr>
            <w:tcW w:w="1696" w:type="dxa"/>
            <w:tcBorders>
              <w:top w:val="nil"/>
              <w:left w:val="single" w:sz="16" w:space="0" w:color="000000"/>
              <w:bottom w:val="single" w:sz="16" w:space="0" w:color="000000"/>
              <w:right w:val="single" w:sz="16" w:space="0" w:color="000000"/>
            </w:tcBorders>
            <w:shd w:val="clear" w:color="auto" w:fill="FFFFFF"/>
          </w:tcPr>
          <w:p w:rsidR="00856B88" w:rsidRPr="00856B88" w:rsidRDefault="00856B88" w:rsidP="00856B88">
            <w:pPr>
              <w:autoSpaceDE w:val="0"/>
              <w:autoSpaceDN w:val="0"/>
              <w:adjustRightInd w:val="0"/>
              <w:spacing w:after="0" w:line="320" w:lineRule="atLeast"/>
              <w:ind w:left="60" w:right="60"/>
              <w:rPr>
                <w:rFonts w:ascii="Arial" w:hAnsi="Arial" w:cs="Arial"/>
                <w:color w:val="000000"/>
                <w:sz w:val="18"/>
                <w:szCs w:val="18"/>
              </w:rPr>
            </w:pPr>
            <w:r w:rsidRPr="00856B88">
              <w:rPr>
                <w:rFonts w:ascii="Arial" w:hAnsi="Arial" w:cs="Arial"/>
                <w:color w:val="000000"/>
                <w:sz w:val="18"/>
                <w:szCs w:val="18"/>
              </w:rPr>
              <w:t>Total</w:t>
            </w:r>
          </w:p>
        </w:tc>
        <w:tc>
          <w:tcPr>
            <w:tcW w:w="1468" w:type="dxa"/>
            <w:tcBorders>
              <w:top w:val="nil"/>
              <w:left w:val="single" w:sz="16" w:space="0" w:color="000000"/>
              <w:bottom w:val="single" w:sz="16" w:space="0" w:color="000000"/>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1010499.228</w:t>
            </w:r>
          </w:p>
        </w:tc>
        <w:tc>
          <w:tcPr>
            <w:tcW w:w="1018" w:type="dxa"/>
            <w:tcBorders>
              <w:top w:val="nil"/>
              <w:bottom w:val="single" w:sz="16" w:space="0" w:color="000000"/>
            </w:tcBorders>
            <w:shd w:val="clear" w:color="auto" w:fill="FFFFFF"/>
          </w:tcPr>
          <w:p w:rsidR="00856B88" w:rsidRPr="00856B88" w:rsidRDefault="00856B88" w:rsidP="00856B88">
            <w:pPr>
              <w:autoSpaceDE w:val="0"/>
              <w:autoSpaceDN w:val="0"/>
              <w:adjustRightInd w:val="0"/>
              <w:spacing w:after="0" w:line="320" w:lineRule="atLeast"/>
              <w:ind w:left="60" w:right="60"/>
              <w:jc w:val="right"/>
              <w:rPr>
                <w:rFonts w:ascii="Arial" w:hAnsi="Arial" w:cs="Arial"/>
                <w:color w:val="000000"/>
                <w:sz w:val="18"/>
                <w:szCs w:val="18"/>
              </w:rPr>
            </w:pPr>
            <w:r w:rsidRPr="00856B88">
              <w:rPr>
                <w:rFonts w:ascii="Arial" w:hAnsi="Arial" w:cs="Arial"/>
                <w:color w:val="000000"/>
                <w:sz w:val="18"/>
                <w:szCs w:val="18"/>
              </w:rPr>
              <w:t>9999</w:t>
            </w:r>
          </w:p>
        </w:tc>
        <w:tc>
          <w:tcPr>
            <w:tcW w:w="1409" w:type="dxa"/>
            <w:tcBorders>
              <w:top w:val="nil"/>
              <w:bottom w:val="single" w:sz="16" w:space="0" w:color="000000"/>
            </w:tcBorders>
            <w:shd w:val="clear" w:color="auto" w:fill="FFFFFF"/>
            <w:vAlign w:val="center"/>
          </w:tcPr>
          <w:p w:rsidR="00856B88" w:rsidRPr="00856B88" w:rsidRDefault="00856B88" w:rsidP="00856B88">
            <w:pPr>
              <w:autoSpaceDE w:val="0"/>
              <w:autoSpaceDN w:val="0"/>
              <w:adjustRightInd w:val="0"/>
              <w:spacing w:after="0" w:line="240" w:lineRule="auto"/>
              <w:jc w:val="center"/>
              <w:rPr>
                <w:rFonts w:ascii="Times New Roman" w:hAnsi="Times New Roman" w:cs="Times New Roman"/>
                <w:sz w:val="24"/>
                <w:szCs w:val="24"/>
              </w:rPr>
            </w:pPr>
          </w:p>
        </w:tc>
        <w:tc>
          <w:tcPr>
            <w:tcW w:w="1019" w:type="dxa"/>
            <w:tcBorders>
              <w:top w:val="nil"/>
              <w:bottom w:val="single" w:sz="16" w:space="0" w:color="000000"/>
            </w:tcBorders>
            <w:shd w:val="clear" w:color="auto" w:fill="FFFFFF"/>
            <w:vAlign w:val="center"/>
          </w:tcPr>
          <w:p w:rsidR="00856B88" w:rsidRPr="00856B88" w:rsidRDefault="00856B88" w:rsidP="00856B88">
            <w:pPr>
              <w:autoSpaceDE w:val="0"/>
              <w:autoSpaceDN w:val="0"/>
              <w:adjustRightInd w:val="0"/>
              <w:spacing w:after="0" w:line="240" w:lineRule="auto"/>
              <w:jc w:val="center"/>
              <w:rPr>
                <w:rFonts w:ascii="Times New Roman" w:hAnsi="Times New Roman" w:cs="Times New Roman"/>
                <w:sz w:val="24"/>
                <w:szCs w:val="24"/>
              </w:rPr>
            </w:pPr>
          </w:p>
        </w:tc>
        <w:tc>
          <w:tcPr>
            <w:tcW w:w="1019" w:type="dxa"/>
            <w:tcBorders>
              <w:top w:val="nil"/>
              <w:bottom w:val="single" w:sz="16" w:space="0" w:color="000000"/>
              <w:right w:val="single" w:sz="16" w:space="0" w:color="000000"/>
            </w:tcBorders>
            <w:shd w:val="clear" w:color="auto" w:fill="FFFFFF"/>
            <w:vAlign w:val="center"/>
          </w:tcPr>
          <w:p w:rsidR="00856B88" w:rsidRPr="00856B88" w:rsidRDefault="00856B88" w:rsidP="00856B88">
            <w:pPr>
              <w:autoSpaceDE w:val="0"/>
              <w:autoSpaceDN w:val="0"/>
              <w:adjustRightInd w:val="0"/>
              <w:spacing w:after="0" w:line="240" w:lineRule="auto"/>
              <w:jc w:val="center"/>
              <w:rPr>
                <w:rFonts w:ascii="Times New Roman" w:hAnsi="Times New Roman" w:cs="Times New Roman"/>
                <w:sz w:val="24"/>
                <w:szCs w:val="24"/>
              </w:rPr>
            </w:pPr>
          </w:p>
        </w:tc>
      </w:tr>
    </w:tbl>
    <w:p w:rsidR="00856B88" w:rsidRPr="00856B88" w:rsidRDefault="00856B88" w:rsidP="00856B88">
      <w:pPr>
        <w:autoSpaceDE w:val="0"/>
        <w:autoSpaceDN w:val="0"/>
        <w:adjustRightInd w:val="0"/>
        <w:spacing w:after="0" w:line="400" w:lineRule="atLeast"/>
        <w:rPr>
          <w:rFonts w:ascii="Times New Roman" w:hAnsi="Times New Roman" w:cs="Times New Roman"/>
          <w:sz w:val="24"/>
          <w:szCs w:val="24"/>
        </w:rPr>
      </w:pPr>
    </w:p>
    <w:p w:rsidR="00856B88" w:rsidRDefault="00856B88">
      <w:r>
        <w:t>You should be able to interpret this table.</w:t>
      </w:r>
    </w:p>
    <w:p w:rsidR="00856B88" w:rsidRPr="00856B88" w:rsidRDefault="00856B88">
      <w:pPr>
        <w:rPr>
          <w:u w:val="single"/>
        </w:rPr>
      </w:pPr>
      <w:r w:rsidRPr="00856B88">
        <w:rPr>
          <w:u w:val="single"/>
        </w:rPr>
        <w:t>Lab Questions</w:t>
      </w:r>
    </w:p>
    <w:p w:rsidR="00856B88" w:rsidRDefault="00856B88">
      <w:r>
        <w:t xml:space="preserve">1). </w:t>
      </w:r>
      <w:proofErr w:type="gramStart"/>
      <w:r>
        <w:t>The</w:t>
      </w:r>
      <w:proofErr w:type="gramEnd"/>
      <w:r>
        <w:t xml:space="preserve"> p-value for this test is .072.  Do we reject the null hypothesis?</w:t>
      </w:r>
    </w:p>
    <w:p w:rsidR="00D9080D" w:rsidRDefault="00F509B5">
      <w:r>
        <w:t xml:space="preserve">2). </w:t>
      </w:r>
      <w:proofErr w:type="gramStart"/>
      <w:r>
        <w:t>Is</w:t>
      </w:r>
      <w:proofErr w:type="gramEnd"/>
      <w:r>
        <w:t xml:space="preserve"> there sufficient evidence to conclude that there is a statistically significa</w:t>
      </w:r>
      <w:r w:rsidR="00D9080D">
        <w:t>nt difference in mean weight across different NYHA groups?</w:t>
      </w:r>
    </w:p>
    <w:p w:rsidR="00F509B5" w:rsidRDefault="00D9080D">
      <w:r>
        <w:t>3). Pretend for a moment that the resulting p-value was .02.  Would we reject the null hypothesis in this case?  Why or Why Not?  If we did reject the null hypothesis we would conclude that there is sufficient evidence to suggest a statistically significant difference in mean weight between NYHA groups.  The NYHA variable has 4 levels in it; would we know which of the 4 NYHA groups’ means resulted in the statistically significant result?</w:t>
      </w:r>
      <w:r w:rsidR="00F509B5">
        <w:t xml:space="preserve"> </w:t>
      </w:r>
    </w:p>
    <w:p w:rsidR="009E0D0D" w:rsidRDefault="00D9080D">
      <w:r>
        <w:t>4</w:t>
      </w:r>
      <w:r w:rsidR="009E0D0D">
        <w:t>). Divide each of the first two sums of squares by their respective degrees of freedom.  What column of the table holds the same answers</w:t>
      </w:r>
      <w:r w:rsidR="00F509B5">
        <w:t xml:space="preserve"> as these</w:t>
      </w:r>
      <w:r w:rsidR="009E0D0D">
        <w:t>?</w:t>
      </w:r>
    </w:p>
    <w:p w:rsidR="009E0D0D" w:rsidRDefault="00D9080D">
      <w:r>
        <w:t>5</w:t>
      </w:r>
      <w:r w:rsidR="009E0D0D">
        <w:t xml:space="preserve">). </w:t>
      </w:r>
      <w:proofErr w:type="gramStart"/>
      <w:r w:rsidR="009E0D0D">
        <w:t>What</w:t>
      </w:r>
      <w:proofErr w:type="gramEnd"/>
      <w:r w:rsidR="009E0D0D">
        <w:t xml:space="preserve"> percent of the </w:t>
      </w:r>
      <w:r w:rsidR="009E0D0D" w:rsidRPr="009E0D0D">
        <w:rPr>
          <w:b/>
        </w:rPr>
        <w:t>within</w:t>
      </w:r>
      <w:r w:rsidR="009E0D0D">
        <w:t xml:space="preserve"> groups mean square is the </w:t>
      </w:r>
      <w:r w:rsidR="009E0D0D" w:rsidRPr="009E0D0D">
        <w:rPr>
          <w:b/>
        </w:rPr>
        <w:t>between</w:t>
      </w:r>
      <w:r w:rsidR="009E0D0D">
        <w:t xml:space="preserve"> groups mean square?  What column of the table holds this answer?</w:t>
      </w:r>
    </w:p>
    <w:p w:rsidR="00963669" w:rsidRDefault="00963669">
      <w:r>
        <w:t>6). Subtract the number of NYHA groups from the total number of observations.  What value in the table holds this same answer?</w:t>
      </w:r>
    </w:p>
    <w:p w:rsidR="00963669" w:rsidRDefault="00963669">
      <w:r>
        <w:t>7). Subtract 1 from the number of NYHA groups.  What value in the table holds this same answer?</w:t>
      </w:r>
    </w:p>
    <w:p w:rsidR="00963669" w:rsidRDefault="00963669">
      <w:r>
        <w:t>8). Add your answers from questions 6 and 7.  What value in the table holds this same answer?</w:t>
      </w:r>
    </w:p>
    <w:sectPr w:rsidR="00963669" w:rsidSect="00722E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36E4"/>
    <w:rsid w:val="00186083"/>
    <w:rsid w:val="004D6C12"/>
    <w:rsid w:val="006820FC"/>
    <w:rsid w:val="00722EAA"/>
    <w:rsid w:val="007F2C8B"/>
    <w:rsid w:val="00856B88"/>
    <w:rsid w:val="008F109E"/>
    <w:rsid w:val="00963669"/>
    <w:rsid w:val="009E0D0D"/>
    <w:rsid w:val="009E6F79"/>
    <w:rsid w:val="00A87855"/>
    <w:rsid w:val="00CD36E4"/>
    <w:rsid w:val="00D9080D"/>
    <w:rsid w:val="00E549E0"/>
    <w:rsid w:val="00E646A4"/>
    <w:rsid w:val="00F50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0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6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B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at Buffalo</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dc:creator>
  <cp:keywords/>
  <dc:description/>
  <cp:lastModifiedBy>Information Technology Services</cp:lastModifiedBy>
  <cp:revision>2</cp:revision>
  <dcterms:created xsi:type="dcterms:W3CDTF">2010-01-12T14:20:00Z</dcterms:created>
  <dcterms:modified xsi:type="dcterms:W3CDTF">2010-01-12T14:20:00Z</dcterms:modified>
</cp:coreProperties>
</file>